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Kit urinoir</w:t></w:r></w:p><w:p><w:pPr/><w:r><w:rPr><w:rFonts w:ascii="Calibri" w:hAnsi="Calibri" w:eastAsia="Calibri" w:cs="Calibri"/><w:sz w:val="22"/><w:szCs w:val="22"/></w:rPr><w:t xml:space="preserve">Pour urinoir droit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Référence: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Descriptif CCTP</w:t></w:r></w:p><w:p/><w:p><w:pPr><w:spacing w:line="288" w:lineRule="auto"/></w:pPr><w:r><w:rPr><w:rFonts w:ascii="Calibri" w:hAnsi="Calibri" w:eastAsia="Calibri" w:cs="Calibri"/><w:sz w:val="22"/><w:szCs w:val="22"/></w:rPr><w:t xml:space="preserve">Kit pour urinoir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Comprenant : un robinet droit TEMPOSTOP 777000 et une tubulure d'alimentation 752000.</w:t></w:r></w:p><w:p><w:pPr><w:spacing w:line="288" w:lineRule="auto"/></w:pPr><w:r><w:rPr><w:rFonts w:ascii="Calibri" w:hAnsi="Calibri" w:eastAsia="Calibri" w:cs="Calibri"/><w:sz w:val="22"/><w:szCs w:val="22"/></w:rPr><w:t xml:space="preserve">Garantie 30 ans.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2025-04-02T16:20:36+02:00</dcterms:created>
  <dcterms:modified xsi:type="dcterms:W3CDTF">2025-04-02T16:20:36+02:00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